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C28EA" w14:textId="77777777" w:rsidR="00A3127F" w:rsidRDefault="00A3127F" w:rsidP="00A3127F">
      <w:r>
        <w:t xml:space="preserve">Salvatore Settis ha diretto a Los Angeles il Getty </w:t>
      </w:r>
      <w:proofErr w:type="spellStart"/>
      <w:r>
        <w:t>Research</w:t>
      </w:r>
      <w:proofErr w:type="spellEnd"/>
      <w:r>
        <w:t xml:space="preserve"> Institute (1994-99) e a Pisa la Scuola Normale Superiore (1999-2010). </w:t>
      </w:r>
      <w:proofErr w:type="gramStart"/>
      <w:r>
        <w:t>E’</w:t>
      </w:r>
      <w:proofErr w:type="gramEnd"/>
      <w:r>
        <w:t xml:space="preserve"> stato presidente del Consiglio Superiore dei Beni Culturali (2007-2009) e membro fondatore di European </w:t>
      </w:r>
      <w:proofErr w:type="spellStart"/>
      <w:r>
        <w:t>Research</w:t>
      </w:r>
      <w:proofErr w:type="spellEnd"/>
      <w:r>
        <w:t xml:space="preserve"> Council (2005-2011). Warburg Professor ad Amburgo, ha tenuto a Oxford le Isaiah Berlin Lectures, a Washington le Mellon </w:t>
      </w:r>
      <w:proofErr w:type="spellStart"/>
      <w:r>
        <w:t>Lectures</w:t>
      </w:r>
      <w:proofErr w:type="spellEnd"/>
      <w:r>
        <w:t xml:space="preserve">, a Madrid la Cátedra del Prado e a Mendrisio la Cattedra Borromini. Dal 2010 presiede il Consiglio Scientifico del </w:t>
      </w:r>
      <w:proofErr w:type="gramStart"/>
      <w:r>
        <w:t>Louvre.&lt;</w:t>
      </w:r>
      <w:proofErr w:type="spellStart"/>
      <w:proofErr w:type="gramEnd"/>
      <w:r>
        <w:t>br</w:t>
      </w:r>
      <w:proofErr w:type="spellEnd"/>
      <w:r>
        <w:t xml:space="preserve"> /&gt;&lt;</w:t>
      </w:r>
      <w:proofErr w:type="spellStart"/>
      <w:r>
        <w:t>br</w:t>
      </w:r>
      <w:proofErr w:type="spellEnd"/>
      <w:r>
        <w:t xml:space="preserve"> /&gt;</w:t>
      </w:r>
    </w:p>
    <w:p w14:paraId="53FA6B34" w14:textId="77777777" w:rsidR="00A3127F" w:rsidRDefault="00A3127F" w:rsidP="00A3127F"/>
    <w:p w14:paraId="48EF8DB2" w14:textId="77777777" w:rsidR="00A3127F" w:rsidRDefault="00A3127F" w:rsidP="00A3127F">
      <w:r>
        <w:t xml:space="preserve">Ha scritto di storia dell'arte antica (Saggio sull'Afrodite Urania di Fidia, 1966; La Colonna Traiana, 1988; Laocoonte. Fama e stile,1999; La Villa di Livia e la pittura di giardino, 2002) e post-antica (La «Tempesta» interpretata. Giorgione, i committenti, il soggetto, 1978; Iconografia dell’arte italiana, 1100-1500, 2005; Artisti e committenti tra Quattro e Cinquecento, 2010), nonché di orientamento culturale (Italia S.p.A. L'assalto al patrimonio culturale, 2002; Futuro del “classico”, 2004; Battaglie senza eroi. I beni culturali fra istituzioni e profitto, 2005; Paesaggio Costituzione cemento. La battaglia per l’ambiente contro il degrado civile, 2010; Azione popolare. Cittadini per il bene comune, Torino 2012, Se Venezia muore, 2014, Costituzione! Perché attuarla è meglio che cambiarla, 2016; Architettura e democrazia. Paesaggio, città, diritti civili, 2017; Cieli d’Europa. Cultura, creatività, uguaglianza, 2017). Ha curato Memoria dell'Antico nell'arte italiana, 1984-86, I Greci. Storia, arte, cultura, società, 1995-2002 e la collana Mirabilia </w:t>
      </w:r>
      <w:proofErr w:type="spellStart"/>
      <w:r>
        <w:t>Italiae</w:t>
      </w:r>
      <w:proofErr w:type="spellEnd"/>
      <w:r>
        <w:t>. Suoi scritti sono stati tradotti in 16 lingue. &lt;</w:t>
      </w:r>
      <w:proofErr w:type="spellStart"/>
      <w:r>
        <w:t>br</w:t>
      </w:r>
      <w:proofErr w:type="spellEnd"/>
      <w:r>
        <w:t xml:space="preserve"> /&gt;&lt;</w:t>
      </w:r>
      <w:proofErr w:type="spellStart"/>
      <w:r>
        <w:t>br</w:t>
      </w:r>
      <w:proofErr w:type="spellEnd"/>
      <w:r>
        <w:t xml:space="preserve"> /&gt;</w:t>
      </w:r>
    </w:p>
    <w:p w14:paraId="291BBD68" w14:textId="77777777" w:rsidR="00A3127F" w:rsidRDefault="00A3127F" w:rsidP="00A3127F"/>
    <w:p w14:paraId="6E9A951E" w14:textId="283E0D28" w:rsidR="00146A70" w:rsidRDefault="00A3127F" w:rsidP="00A3127F">
      <w:proofErr w:type="gramStart"/>
      <w:r>
        <w:t>E’</w:t>
      </w:r>
      <w:proofErr w:type="gramEnd"/>
      <w:r>
        <w:t xml:space="preserve"> membro anche delle Accademie di Francia, di Berlino, di Baviera e del Belgio, dell’American </w:t>
      </w:r>
      <w:proofErr w:type="spellStart"/>
      <w:r>
        <w:t>Philosophical</w:t>
      </w:r>
      <w:proofErr w:type="spellEnd"/>
      <w:r>
        <w:t xml:space="preserve"> Society di Philadelphia e dell’American Academy of Arts and Sciences.</w:t>
      </w:r>
    </w:p>
    <w:sectPr w:rsidR="00146A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27F"/>
    <w:rsid w:val="00146A70"/>
    <w:rsid w:val="00A3127F"/>
    <w:rsid w:val="00FA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F0F70"/>
  <w15:chartTrackingRefBased/>
  <w15:docId w15:val="{F59BFCF0-11EC-4062-AF5E-316C84FC6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31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31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312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31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31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31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31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31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31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312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12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312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312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312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312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312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312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312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31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31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31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31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31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312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3127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312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31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312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312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2026-02-08T15:39:00Z</dcterms:created>
  <dcterms:modified xsi:type="dcterms:W3CDTF">2026-02-08T15:39:00Z</dcterms:modified>
</cp:coreProperties>
</file>