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2AF" w:rsidRDefault="00BF0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PAOLO FEDELI (Ancona 16.7.1939) </w:t>
      </w:r>
    </w:p>
    <w:p w:rsidR="00BF03FC" w:rsidRDefault="00BF03FC" w:rsidP="00BF03F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Accademico Nazionale dei Lincei, Socio straniero dell’Accademia delle Scienze di Lisbona, Socio corrispondente dell’I</w:t>
      </w:r>
      <w:r w:rsidR="00385A65">
        <w:rPr>
          <w:rFonts w:ascii="Times New Roman" w:hAnsi="Times New Roman" w:cs="Times New Roman"/>
          <w:sz w:val="24"/>
          <w:szCs w:val="24"/>
        </w:rPr>
        <w:t xml:space="preserve">stituto Lombardo, è stato </w:t>
      </w:r>
      <w:proofErr w:type="spellStart"/>
      <w:r w:rsidR="00385A65">
        <w:rPr>
          <w:rFonts w:ascii="Times New Roman" w:hAnsi="Times New Roman" w:cs="Times New Roman"/>
          <w:sz w:val="24"/>
          <w:szCs w:val="24"/>
        </w:rPr>
        <w:t>prof.</w:t>
      </w:r>
      <w:r>
        <w:rPr>
          <w:rFonts w:ascii="Times New Roman" w:hAnsi="Times New Roman" w:cs="Times New Roman"/>
          <w:sz w:val="24"/>
          <w:szCs w:val="24"/>
        </w:rPr>
        <w:t>ord</w:t>
      </w:r>
      <w:proofErr w:type="spellEnd"/>
      <w:r>
        <w:rPr>
          <w:rFonts w:ascii="Times New Roman" w:hAnsi="Times New Roman" w:cs="Times New Roman"/>
          <w:sz w:val="24"/>
          <w:szCs w:val="24"/>
        </w:rPr>
        <w:t>. di Filologia Classica nell’Università di Friburgo (Svizzera) dal 1968 al 1975, di Letteratura Latina dal 1976 al 2010</w:t>
      </w:r>
      <w:r w:rsidRPr="00BF03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nell’Università di Bari, dov’è prof. emerito.</w:t>
      </w:r>
    </w:p>
    <w:p w:rsidR="00BF03FC" w:rsidRDefault="00BF03FC" w:rsidP="00BF03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Laurea honoris causa nelle Università di Lisbona (Portogallo) e Mar del Plata (Argentina); cittadino onorario di Jesi e di Venosa; è stato Presidente della Consulta Universitaria di Studi Latini, vicepresidente del Comitato di Scienze storiche, letterarie, filologiche del CNR; Presidente della Giunta esecutiva del bimillenario della morte di Orazio e del Comitato scientifico del bimillenario della morte di Ovidio</w:t>
      </w:r>
      <w:r w:rsidR="00295BF7">
        <w:rPr>
          <w:rFonts w:ascii="Times New Roman" w:hAnsi="Times New Roman" w:cs="Times New Roman"/>
          <w:sz w:val="24"/>
          <w:szCs w:val="24"/>
        </w:rPr>
        <w:t xml:space="preserve">, membro della giunta esecutiva del Centro di Studi Ciceroniani, del comitato scientifico dell’Istituto per la Magna Grecia, dell’Accademia Properziana, dell’Accademia Ovidiana e della </w:t>
      </w:r>
      <w:proofErr w:type="spellStart"/>
      <w:r w:rsidR="00295BF7">
        <w:rPr>
          <w:rFonts w:ascii="Times New Roman" w:hAnsi="Times New Roman" w:cs="Times New Roman"/>
          <w:sz w:val="24"/>
          <w:szCs w:val="24"/>
        </w:rPr>
        <w:t>Petronian</w:t>
      </w:r>
      <w:proofErr w:type="spellEnd"/>
      <w:r w:rsidR="00295BF7">
        <w:rPr>
          <w:rFonts w:ascii="Times New Roman" w:hAnsi="Times New Roman" w:cs="Times New Roman"/>
          <w:sz w:val="24"/>
          <w:szCs w:val="24"/>
        </w:rPr>
        <w:t xml:space="preserve"> Society di Gainesville (Florida, USA).</w:t>
      </w:r>
    </w:p>
    <w:p w:rsidR="00295BF7" w:rsidRDefault="00295BF7" w:rsidP="00BF03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Già condirettore dello </w:t>
      </w:r>
      <w:r w:rsidR="00BE1D1B">
        <w:rPr>
          <w:rFonts w:ascii="Times New Roman" w:hAnsi="Times New Roman" w:cs="Times New Roman"/>
          <w:sz w:val="24"/>
          <w:szCs w:val="24"/>
        </w:rPr>
        <w:t>&lt;i&gt;</w:t>
      </w:r>
      <w:r>
        <w:rPr>
          <w:rFonts w:ascii="Times New Roman" w:hAnsi="Times New Roman" w:cs="Times New Roman"/>
          <w:i/>
          <w:sz w:val="24"/>
          <w:szCs w:val="24"/>
        </w:rPr>
        <w:t>Spazio letterario di Roma antica</w:t>
      </w:r>
      <w:r w:rsidR="00BE1D1B">
        <w:rPr>
          <w:rFonts w:ascii="Times New Roman" w:hAnsi="Times New Roman" w:cs="Times New Roman"/>
          <w:i/>
          <w:sz w:val="24"/>
          <w:szCs w:val="24"/>
        </w:rPr>
        <w:t>&lt;/i&gt;</w:t>
      </w:r>
      <w:r>
        <w:rPr>
          <w:rFonts w:ascii="Times New Roman" w:hAnsi="Times New Roman" w:cs="Times New Roman"/>
          <w:sz w:val="24"/>
          <w:szCs w:val="24"/>
        </w:rPr>
        <w:t xml:space="preserve"> (Salerno Editrice, Roma) e direttore sin dalla fondazione della rivista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Aufidus</w:t>
      </w:r>
      <w:proofErr w:type="spellEnd"/>
      <w:r>
        <w:rPr>
          <w:rFonts w:ascii="Times New Roman" w:hAnsi="Times New Roman" w:cs="Times New Roman"/>
          <w:sz w:val="24"/>
          <w:szCs w:val="24"/>
        </w:rPr>
        <w:t>”, è condirettore della “Rivista di Filologia e d’Istruzione Classica” e del “Giornale Italiano di Filologia” e fa parte del comitato direttivo di numerose riviste italiane e straniere.</w:t>
      </w:r>
    </w:p>
    <w:p w:rsidR="00295BF7" w:rsidRDefault="00295BF7" w:rsidP="00BF03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1995 ha vinto il I premio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Certamen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Capitolinum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Comune di Roma, nel 2007 il premio come ‘Marchigiano dell’anno per la cultura’, nel 2018 il premio internazionale ‘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Constantinus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Magnus’.</w:t>
      </w:r>
    </w:p>
    <w:p w:rsidR="00295BF7" w:rsidRPr="00385A65" w:rsidRDefault="00295BF7" w:rsidP="00BF03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rivolto gran parte della sua attività agli autori latini del I sec. a.C. e del I d.C.; ha curato le edizioni critiche del </w:t>
      </w:r>
      <w:r w:rsidR="00BE1D1B">
        <w:rPr>
          <w:rFonts w:ascii="Times New Roman" w:hAnsi="Times New Roman" w:cs="Times New Roman"/>
          <w:sz w:val="24"/>
          <w:szCs w:val="24"/>
        </w:rPr>
        <w:t>&lt;i&gt;</w:t>
      </w:r>
      <w:r w:rsidRPr="00295BF7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295BF7">
        <w:rPr>
          <w:rFonts w:ascii="Times New Roman" w:hAnsi="Times New Roman" w:cs="Times New Roman"/>
          <w:i/>
          <w:sz w:val="24"/>
          <w:szCs w:val="24"/>
        </w:rPr>
        <w:t>officiis</w:t>
      </w:r>
      <w:proofErr w:type="spellEnd"/>
      <w:r w:rsidR="00BE1D1B">
        <w:rPr>
          <w:rFonts w:ascii="Times New Roman" w:hAnsi="Times New Roman" w:cs="Times New Roman"/>
          <w:i/>
          <w:sz w:val="24"/>
          <w:szCs w:val="24"/>
        </w:rPr>
        <w:t>&lt;/i&gt;</w:t>
      </w:r>
      <w:r w:rsidR="00385A65">
        <w:rPr>
          <w:rFonts w:ascii="Times New Roman" w:hAnsi="Times New Roman" w:cs="Times New Roman"/>
          <w:sz w:val="24"/>
          <w:szCs w:val="24"/>
        </w:rPr>
        <w:t xml:space="preserve">, del </w:t>
      </w:r>
      <w:r w:rsidR="00BE1D1B">
        <w:rPr>
          <w:rFonts w:ascii="Times New Roman" w:hAnsi="Times New Roman" w:cs="Times New Roman"/>
          <w:sz w:val="24"/>
          <w:szCs w:val="24"/>
        </w:rPr>
        <w:t>&lt;i&gt;</w:t>
      </w:r>
      <w:r w:rsidR="00385A65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385A65">
        <w:rPr>
          <w:rFonts w:ascii="Times New Roman" w:hAnsi="Times New Roman" w:cs="Times New Roman"/>
          <w:i/>
          <w:sz w:val="24"/>
          <w:szCs w:val="24"/>
        </w:rPr>
        <w:t>amicitia</w:t>
      </w:r>
      <w:proofErr w:type="spellEnd"/>
      <w:r w:rsidR="00BE1D1B">
        <w:rPr>
          <w:rFonts w:ascii="Times New Roman" w:hAnsi="Times New Roman" w:cs="Times New Roman"/>
          <w:i/>
          <w:sz w:val="24"/>
          <w:szCs w:val="24"/>
        </w:rPr>
        <w:t>&lt;/i&gt;</w:t>
      </w:r>
      <w:r w:rsidR="00385A65">
        <w:rPr>
          <w:rFonts w:ascii="Times New Roman" w:hAnsi="Times New Roman" w:cs="Times New Roman"/>
          <w:sz w:val="24"/>
          <w:szCs w:val="24"/>
        </w:rPr>
        <w:t xml:space="preserve">, delle </w:t>
      </w:r>
      <w:r w:rsidR="00BE1D1B">
        <w:rPr>
          <w:rFonts w:ascii="Times New Roman" w:hAnsi="Times New Roman" w:cs="Times New Roman"/>
          <w:sz w:val="24"/>
          <w:szCs w:val="24"/>
        </w:rPr>
        <w:t>&lt;i&gt;</w:t>
      </w:r>
      <w:proofErr w:type="spellStart"/>
      <w:r w:rsidR="00385A65">
        <w:rPr>
          <w:rFonts w:ascii="Times New Roman" w:hAnsi="Times New Roman" w:cs="Times New Roman"/>
          <w:i/>
          <w:sz w:val="24"/>
          <w:szCs w:val="24"/>
        </w:rPr>
        <w:t>Philippicae</w:t>
      </w:r>
      <w:proofErr w:type="spellEnd"/>
      <w:r w:rsidR="00BE1D1B">
        <w:rPr>
          <w:rFonts w:ascii="Times New Roman" w:hAnsi="Times New Roman" w:cs="Times New Roman"/>
          <w:i/>
          <w:sz w:val="24"/>
          <w:szCs w:val="24"/>
        </w:rPr>
        <w:t>&lt;/i&gt;</w:t>
      </w:r>
      <w:r w:rsidR="00385A65">
        <w:rPr>
          <w:rFonts w:ascii="Times New Roman" w:hAnsi="Times New Roman" w:cs="Times New Roman"/>
          <w:sz w:val="24"/>
          <w:szCs w:val="24"/>
        </w:rPr>
        <w:t xml:space="preserve"> di Cicerone e delle Elegie di </w:t>
      </w:r>
      <w:proofErr w:type="spellStart"/>
      <w:r w:rsidR="00385A65">
        <w:rPr>
          <w:rFonts w:ascii="Times New Roman" w:hAnsi="Times New Roman" w:cs="Times New Roman"/>
          <w:sz w:val="24"/>
          <w:szCs w:val="24"/>
        </w:rPr>
        <w:t>Properzio</w:t>
      </w:r>
      <w:proofErr w:type="spellEnd"/>
      <w:r w:rsidR="00385A65">
        <w:rPr>
          <w:rFonts w:ascii="Times New Roman" w:hAnsi="Times New Roman" w:cs="Times New Roman"/>
          <w:sz w:val="24"/>
          <w:szCs w:val="24"/>
        </w:rPr>
        <w:t xml:space="preserve">; commentatore di Cicerone, di </w:t>
      </w:r>
      <w:proofErr w:type="spellStart"/>
      <w:r w:rsidR="00385A65">
        <w:rPr>
          <w:rFonts w:ascii="Times New Roman" w:hAnsi="Times New Roman" w:cs="Times New Roman"/>
          <w:sz w:val="24"/>
          <w:szCs w:val="24"/>
        </w:rPr>
        <w:t>Properzio</w:t>
      </w:r>
      <w:proofErr w:type="spellEnd"/>
      <w:r w:rsidR="00385A65">
        <w:rPr>
          <w:rFonts w:ascii="Times New Roman" w:hAnsi="Times New Roman" w:cs="Times New Roman"/>
          <w:sz w:val="24"/>
          <w:szCs w:val="24"/>
        </w:rPr>
        <w:t xml:space="preserve"> e di Orazio, è autore di numerosi saggi su Virgilio, Tibullo, Ovidio, sul romanzo petroniano e sull’oratoria imperiale (Panegirico di Plinio; Panegirici latini, editi con V. Paladini nella serie degli </w:t>
      </w:r>
      <w:proofErr w:type="spellStart"/>
      <w:r w:rsidR="00385A65">
        <w:rPr>
          <w:rFonts w:ascii="Times New Roman" w:hAnsi="Times New Roman" w:cs="Times New Roman"/>
          <w:sz w:val="24"/>
          <w:szCs w:val="24"/>
        </w:rPr>
        <w:t>Scriptores</w:t>
      </w:r>
      <w:proofErr w:type="spellEnd"/>
      <w:r w:rsidR="00385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A65">
        <w:rPr>
          <w:rFonts w:ascii="Times New Roman" w:hAnsi="Times New Roman" w:cs="Times New Roman"/>
          <w:sz w:val="24"/>
          <w:szCs w:val="24"/>
        </w:rPr>
        <w:t>Graeci</w:t>
      </w:r>
      <w:proofErr w:type="spellEnd"/>
      <w:r w:rsidR="00385A65">
        <w:rPr>
          <w:rFonts w:ascii="Times New Roman" w:hAnsi="Times New Roman" w:cs="Times New Roman"/>
          <w:sz w:val="24"/>
          <w:szCs w:val="24"/>
        </w:rPr>
        <w:t xml:space="preserve"> et Latini dell’Accademia dei Lincei (1976). Si è occupato anche di ecologia nel mondo romano (</w:t>
      </w:r>
      <w:r w:rsidR="00BE1D1B">
        <w:rPr>
          <w:rFonts w:ascii="Times New Roman" w:hAnsi="Times New Roman" w:cs="Times New Roman"/>
          <w:sz w:val="24"/>
          <w:szCs w:val="24"/>
        </w:rPr>
        <w:t>&lt;i&gt;</w:t>
      </w:r>
      <w:r w:rsidR="00385A65">
        <w:rPr>
          <w:rFonts w:ascii="Times New Roman" w:hAnsi="Times New Roman" w:cs="Times New Roman"/>
          <w:i/>
          <w:sz w:val="24"/>
          <w:szCs w:val="24"/>
        </w:rPr>
        <w:t>La natura violata</w:t>
      </w:r>
      <w:r w:rsidR="00BE1D1B">
        <w:rPr>
          <w:rFonts w:ascii="Times New Roman" w:hAnsi="Times New Roman" w:cs="Times New Roman"/>
          <w:i/>
          <w:sz w:val="24"/>
          <w:szCs w:val="24"/>
        </w:rPr>
        <w:t>&lt;/i&gt;</w:t>
      </w:r>
      <w:r w:rsidR="00385A65">
        <w:rPr>
          <w:rFonts w:ascii="Times New Roman" w:hAnsi="Times New Roman" w:cs="Times New Roman"/>
          <w:sz w:val="24"/>
          <w:szCs w:val="24"/>
        </w:rPr>
        <w:t>, Sellerio-Palermo 1990).</w:t>
      </w:r>
    </w:p>
    <w:bookmarkEnd w:id="0"/>
    <w:p w:rsidR="00BF03FC" w:rsidRPr="00BF03FC" w:rsidRDefault="00BF03FC">
      <w:pPr>
        <w:rPr>
          <w:rFonts w:ascii="Times New Roman" w:hAnsi="Times New Roman" w:cs="Times New Roman"/>
          <w:sz w:val="24"/>
          <w:szCs w:val="24"/>
        </w:rPr>
      </w:pPr>
    </w:p>
    <w:sectPr w:rsidR="00BF03FC" w:rsidRPr="00BF03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3FC"/>
    <w:rsid w:val="00295BF7"/>
    <w:rsid w:val="00385A65"/>
    <w:rsid w:val="009552AF"/>
    <w:rsid w:val="00BE1D1B"/>
    <w:rsid w:val="00BF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EA47E"/>
  <w15:chartTrackingRefBased/>
  <w15:docId w15:val="{2F56FBF1-66B0-4FE5-BDF8-49BD77B3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3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Ilaria Bonincontro</cp:lastModifiedBy>
  <cp:revision>2</cp:revision>
  <dcterms:created xsi:type="dcterms:W3CDTF">2019-08-29T08:19:00Z</dcterms:created>
  <dcterms:modified xsi:type="dcterms:W3CDTF">2019-08-29T08:19:00Z</dcterms:modified>
</cp:coreProperties>
</file>