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A0882" w:rsidRDefault="00000000">
      <w:pPr>
        <w:jc w:val="both"/>
        <w:rPr>
          <w:sz w:val="28"/>
          <w:szCs w:val="28"/>
        </w:rPr>
      </w:pPr>
      <w:r>
        <w:rPr>
          <w:b/>
          <w:sz w:val="28"/>
          <w:szCs w:val="28"/>
        </w:rPr>
        <w:t>CURRICULUM VITAE DI ESTER COEN</w:t>
      </w:r>
    </w:p>
    <w:p w14:paraId="00000002" w14:textId="77777777" w:rsidR="009A0882" w:rsidRDefault="009A0882">
      <w:pPr>
        <w:jc w:val="both"/>
        <w:rPr>
          <w:sz w:val="28"/>
          <w:szCs w:val="28"/>
        </w:rPr>
      </w:pPr>
    </w:p>
    <w:p w14:paraId="00000003" w14:textId="77777777" w:rsidR="009A0882" w:rsidRDefault="00000000">
      <w:pPr>
        <w:jc w:val="both"/>
      </w:pPr>
      <w:r>
        <w:t>ESTER COEN è stata professore ordinario di ‘Storia dell’Arte Contemporanea’ presso il Dipartimento di Studi Umani dell’Università degli Studi dell’Aquila fino al 2018 dove ha coperto, oltre all’insegnamento, numerose cariche come membro direttore della Biblioteca e come coordinatore scientifico per la Classe LM 89 Beni Culturali. Precedentemente, oltre ad aver insegnato “Storia dell’Arte” presso licei artistici e classici, è stata Professore associato di “Storia dell’Arte Contemporanea” presso l’Università degli Studi di Firenze, Facoltà di Lettere e Filosofia dal 1990 al 1994 e professore ordinario presso la Facoltà di Lettere e Filosofia dell’Università di Udine dal 1994 al 1997.</w:t>
      </w:r>
    </w:p>
    <w:p w14:paraId="00000004" w14:textId="77777777" w:rsidR="009A0882" w:rsidRDefault="009A0882">
      <w:pPr>
        <w:jc w:val="both"/>
      </w:pPr>
    </w:p>
    <w:p w14:paraId="00000005" w14:textId="77777777" w:rsidR="009A0882" w:rsidRDefault="00000000">
      <w:pPr>
        <w:jc w:val="both"/>
      </w:pPr>
      <w:r>
        <w:t xml:space="preserve">Ha ottenuto le seguenti borse di studio: nel 1977 dall’Accademia di San Luca, Roma per un viaggio all’estero; borsa di studio Fulbright come Visiting </w:t>
      </w:r>
      <w:proofErr w:type="spellStart"/>
      <w:r>
        <w:t>Scholar</w:t>
      </w:r>
      <w:proofErr w:type="spellEnd"/>
      <w:r>
        <w:t xml:space="preserve"> presso la Columbia University, New York nel 1987; borsa di studio del Getty Center, Los Angeles nel 1993 e nel </w:t>
      </w:r>
      <w:proofErr w:type="gramStart"/>
      <w:r>
        <w:t>1999;  borsa</w:t>
      </w:r>
      <w:proofErr w:type="gramEnd"/>
      <w:r>
        <w:t xml:space="preserve"> di studio del Metropolitan Museum of Art, New York nel 1996.</w:t>
      </w:r>
    </w:p>
    <w:p w14:paraId="00000006" w14:textId="77777777" w:rsidR="009A0882" w:rsidRDefault="009A0882">
      <w:pPr>
        <w:jc w:val="both"/>
      </w:pPr>
    </w:p>
    <w:p w14:paraId="00000007" w14:textId="62041E52" w:rsidR="009A0882" w:rsidRDefault="00000000">
      <w:pPr>
        <w:jc w:val="both"/>
        <w:rPr>
          <w:color w:val="222222"/>
        </w:rPr>
      </w:pPr>
      <w:r>
        <w:rPr>
          <w:color w:val="222222"/>
        </w:rPr>
        <w:t xml:space="preserve">È storica dell’arte e curatrice. Esperta di Futurismo, Metafisica e avanguardie internazionali, la sua ricerca si estende anche agli anni Sessanta fino alla scena contemporanea attraverso </w:t>
      </w:r>
      <w:r w:rsidR="006D3130">
        <w:rPr>
          <w:color w:val="222222"/>
        </w:rPr>
        <w:t xml:space="preserve">numerosi </w:t>
      </w:r>
      <w:r>
        <w:rPr>
          <w:color w:val="222222"/>
        </w:rPr>
        <w:t>saggi e pubblicazioni. </w:t>
      </w:r>
    </w:p>
    <w:p w14:paraId="00000008" w14:textId="77777777" w:rsidR="009A0882" w:rsidRDefault="009A0882">
      <w:pPr>
        <w:jc w:val="both"/>
        <w:rPr>
          <w:color w:val="222222"/>
        </w:rPr>
      </w:pPr>
    </w:p>
    <w:p w14:paraId="00000009" w14:textId="77777777" w:rsidR="009A0882" w:rsidRDefault="00000000">
      <w:pPr>
        <w:jc w:val="both"/>
        <w:rPr>
          <w:color w:val="222222"/>
        </w:rPr>
      </w:pPr>
      <w:r>
        <w:rPr>
          <w:color w:val="222222"/>
        </w:rPr>
        <w:t>Con Giuliano Briganti ha curato la mostra e il catalogo sulla Pittura Metafisica (Palazzo Grassi, Venezia 1979), con Maurizio Calvesi ha pubblicato il catalogo ragionato dell’opera di Umberto Boccioni (1983). Ha organizzato la retrospettiva di Boccioni (con Bill Lieberman, The Metropolitan Museum New York 1988); Futurismo 1909-1916 (</w:t>
      </w:r>
      <w:proofErr w:type="spellStart"/>
      <w:r>
        <w:rPr>
          <w:color w:val="222222"/>
        </w:rPr>
        <w:t>Museu</w:t>
      </w:r>
      <w:proofErr w:type="spellEnd"/>
      <w:r>
        <w:rPr>
          <w:color w:val="222222"/>
        </w:rPr>
        <w:t xml:space="preserve"> Picasso, </w:t>
      </w:r>
      <w:proofErr w:type="spellStart"/>
      <w:r>
        <w:rPr>
          <w:color w:val="222222"/>
        </w:rPr>
        <w:t>Barcelona</w:t>
      </w:r>
      <w:proofErr w:type="spellEnd"/>
      <w:r>
        <w:rPr>
          <w:color w:val="222222"/>
        </w:rPr>
        <w:t xml:space="preserve"> 1996) e ha partecipato a numerose </w:t>
      </w:r>
      <w:r>
        <w:t xml:space="preserve">mostre </w:t>
      </w:r>
      <w:proofErr w:type="gramStart"/>
      <w:r>
        <w:t>internazionali</w:t>
      </w:r>
      <w:proofErr w:type="gramEnd"/>
      <w:r>
        <w:t xml:space="preserve"> tra le quali </w:t>
      </w:r>
      <w:proofErr w:type="spellStart"/>
      <w:r>
        <w:rPr>
          <w:i/>
        </w:rPr>
        <w:t>Italian</w:t>
      </w:r>
      <w:proofErr w:type="spellEnd"/>
      <w:r>
        <w:rPr>
          <w:i/>
        </w:rPr>
        <w:t xml:space="preserve"> Art in the 20th Century</w:t>
      </w:r>
      <w:r>
        <w:t xml:space="preserve">, Royal Academy (Londra 1989); </w:t>
      </w:r>
      <w:r>
        <w:rPr>
          <w:i/>
        </w:rPr>
        <w:t>Memoria del Futuro</w:t>
      </w:r>
      <w:r>
        <w:t xml:space="preserve"> al Centro Reina Sofia (Madrid 1990); </w:t>
      </w:r>
      <w:r>
        <w:rPr>
          <w:i/>
        </w:rPr>
        <w:t>Art and Power</w:t>
      </w:r>
      <w:r>
        <w:t>, Hayward Gallery (Londra 1995).</w:t>
      </w:r>
      <w:r>
        <w:rPr>
          <w:color w:val="222222"/>
        </w:rPr>
        <w:t xml:space="preserve"> Ha progettato a Roma le mostre di Richard Serra (Mercati di Traiano 1999), di Gary Hill (Colosseo 2005), sulla Metafisica intorno a Giorgio de Chirico e alla sua influenza sul Surrealismo (Scuderie del Quirinale 2003). È stata la curatrice italiana della mostra del centenario del Futurismo (Scuderie del Quirinale); nello stesso anno (2009) ha presentato Futurismo 100: Illuminazioni. Italia-Germania-Russia (MART Rovereto). Nel 2015 si è concentrata sul rapporto e l’interesse di Matisse per le arti decorative (Arabesque, Scuderie del Quirinale), nel 2016 ha organizzato una mostra su Giacomo Balla alla Fondazione Ferrero di Alba e alla fine del 2017 ha organizzato presso La Galleria Nazionale (Roma) una mostra per il cinquantesimo anno della "rivoluzione" del 1968. Invitata a curare una grande retrospettiva sul Futurismo per il Reina Sofia di Madrid, la mostra è stata annullata durante la pandemia. Nell’aprile del 2023 ha inaugurato due progetti a Milano al Museo del Novecento e a Palazzo Morando: come tema le avanguardie futuriste e vorticiste e la loro influenza sui disegni di tessuti della casa inglese Liberty. Attualmente cura il programma di eventi culturali per i </w:t>
      </w:r>
      <w:proofErr w:type="gramStart"/>
      <w:r>
        <w:rPr>
          <w:color w:val="222222"/>
        </w:rPr>
        <w:t>centocinquant’anni,  nel</w:t>
      </w:r>
      <w:proofErr w:type="gramEnd"/>
      <w:r>
        <w:rPr>
          <w:color w:val="222222"/>
        </w:rPr>
        <w:t xml:space="preserve"> 2025, del </w:t>
      </w:r>
      <w:proofErr w:type="gramStart"/>
      <w:r>
        <w:rPr>
          <w:color w:val="222222"/>
        </w:rPr>
        <w:t>brand</w:t>
      </w:r>
      <w:proofErr w:type="gramEnd"/>
      <w:r>
        <w:rPr>
          <w:color w:val="222222"/>
        </w:rPr>
        <w:t xml:space="preserve"> tra </w:t>
      </w:r>
      <w:proofErr w:type="spellStart"/>
      <w:r>
        <w:rPr>
          <w:color w:val="222222"/>
        </w:rPr>
        <w:t>Arts</w:t>
      </w:r>
      <w:proofErr w:type="spellEnd"/>
      <w:r>
        <w:rPr>
          <w:color w:val="222222"/>
        </w:rPr>
        <w:t xml:space="preserve"> &amp; </w:t>
      </w:r>
      <w:proofErr w:type="spellStart"/>
      <w:r>
        <w:rPr>
          <w:color w:val="222222"/>
        </w:rPr>
        <w:t>Crafts</w:t>
      </w:r>
      <w:proofErr w:type="spellEnd"/>
      <w:r>
        <w:rPr>
          <w:color w:val="222222"/>
        </w:rPr>
        <w:t xml:space="preserve"> e innovazioni stilistiche.</w:t>
      </w:r>
    </w:p>
    <w:p w14:paraId="0000000A" w14:textId="77777777" w:rsidR="009A0882" w:rsidRDefault="009A0882">
      <w:pPr>
        <w:jc w:val="both"/>
        <w:rPr>
          <w:color w:val="222222"/>
        </w:rPr>
      </w:pPr>
    </w:p>
    <w:p w14:paraId="0000000B" w14:textId="77777777" w:rsidR="009A0882" w:rsidRDefault="00000000">
      <w:pPr>
        <w:jc w:val="both"/>
        <w:rPr>
          <w:color w:val="222222"/>
        </w:rPr>
      </w:pPr>
      <w:r>
        <w:t xml:space="preserve">Ha scritto saggi in cataloghi di mostre internazionali per il Centre Pompidou, Musée d'Art Moderne di Parigi, MoMa di New York e per molti altri musei e gallerie. </w:t>
      </w:r>
    </w:p>
    <w:p w14:paraId="0000000C" w14:textId="77777777" w:rsidR="009A0882" w:rsidRDefault="009A0882">
      <w:pPr>
        <w:jc w:val="both"/>
        <w:rPr>
          <w:color w:val="222222"/>
        </w:rPr>
      </w:pPr>
    </w:p>
    <w:p w14:paraId="0000000D" w14:textId="77777777" w:rsidR="009A0882" w:rsidRDefault="00000000">
      <w:pPr>
        <w:widowControl w:val="0"/>
        <w:tabs>
          <w:tab w:val="left" w:pos="7560"/>
        </w:tabs>
        <w:spacing w:line="274" w:lineRule="auto"/>
        <w:jc w:val="both"/>
      </w:pPr>
      <w:r>
        <w:t xml:space="preserve">Tra i principali interventi a convegni internazionali: </w:t>
      </w:r>
      <w:r>
        <w:rPr>
          <w:i/>
        </w:rPr>
        <w:t xml:space="preserve">La </w:t>
      </w:r>
      <w:proofErr w:type="spellStart"/>
      <w:r>
        <w:rPr>
          <w:i/>
        </w:rPr>
        <w:t>Métaphysique</w:t>
      </w:r>
      <w:proofErr w:type="spellEnd"/>
      <w:r>
        <w:rPr>
          <w:i/>
        </w:rPr>
        <w:t xml:space="preserve"> </w:t>
      </w:r>
      <w:proofErr w:type="spellStart"/>
      <w:r>
        <w:rPr>
          <w:i/>
        </w:rPr>
        <w:t>dans</w:t>
      </w:r>
      <w:proofErr w:type="spellEnd"/>
      <w:r>
        <w:rPr>
          <w:i/>
        </w:rPr>
        <w:t xml:space="preserve"> la </w:t>
      </w:r>
      <w:proofErr w:type="spellStart"/>
      <w:r>
        <w:rPr>
          <w:i/>
        </w:rPr>
        <w:t>peinture</w:t>
      </w:r>
      <w:proofErr w:type="spellEnd"/>
      <w:r>
        <w:rPr>
          <w:i/>
        </w:rPr>
        <w:t xml:space="preserve"> </w:t>
      </w:r>
      <w:proofErr w:type="spellStart"/>
      <w:r>
        <w:rPr>
          <w:i/>
        </w:rPr>
        <w:t>italienne</w:t>
      </w:r>
      <w:proofErr w:type="spellEnd"/>
      <w:r>
        <w:t>,</w:t>
      </w:r>
      <w:r>
        <w:rPr>
          <w:i/>
        </w:rPr>
        <w:t xml:space="preserve"> </w:t>
      </w:r>
      <w:r>
        <w:t xml:space="preserve">Centre Georges Pompidou, Paris 1981; </w:t>
      </w:r>
      <w:r>
        <w:rPr>
          <w:i/>
        </w:rPr>
        <w:t xml:space="preserve">La </w:t>
      </w:r>
      <w:proofErr w:type="spellStart"/>
      <w:r>
        <w:rPr>
          <w:i/>
        </w:rPr>
        <w:t>joie</w:t>
      </w:r>
      <w:proofErr w:type="spellEnd"/>
      <w:r>
        <w:rPr>
          <w:i/>
        </w:rPr>
        <w:t xml:space="preserve"> et la </w:t>
      </w:r>
      <w:proofErr w:type="spellStart"/>
      <w:r>
        <w:rPr>
          <w:i/>
        </w:rPr>
        <w:t>surprise</w:t>
      </w:r>
      <w:proofErr w:type="spellEnd"/>
      <w:r>
        <w:rPr>
          <w:i/>
        </w:rPr>
        <w:t xml:space="preserve"> de la </w:t>
      </w:r>
      <w:proofErr w:type="spellStart"/>
      <w:r>
        <w:rPr>
          <w:i/>
        </w:rPr>
        <w:t>révélation</w:t>
      </w:r>
      <w:proofErr w:type="spellEnd"/>
      <w:r>
        <w:rPr>
          <w:i/>
        </w:rPr>
        <w:t xml:space="preserve"> </w:t>
      </w:r>
      <w:proofErr w:type="spellStart"/>
      <w:r>
        <w:rPr>
          <w:i/>
        </w:rPr>
        <w:t>dans</w:t>
      </w:r>
      <w:proofErr w:type="spellEnd"/>
      <w:r>
        <w:rPr>
          <w:i/>
        </w:rPr>
        <w:t xml:space="preserve"> l’oeuvre de Giorgio De Chirico</w:t>
      </w:r>
      <w:r>
        <w:t xml:space="preserve">. Abbazia di </w:t>
      </w:r>
      <w:proofErr w:type="spellStart"/>
      <w:r>
        <w:t>Royaumont</w:t>
      </w:r>
      <w:proofErr w:type="spellEnd"/>
      <w:r>
        <w:t xml:space="preserve"> 1985; </w:t>
      </w:r>
      <w:r>
        <w:rPr>
          <w:i/>
        </w:rPr>
        <w:t>Boccioni e Severini</w:t>
      </w:r>
      <w:r>
        <w:t>,</w:t>
      </w:r>
      <w:r>
        <w:rPr>
          <w:i/>
        </w:rPr>
        <w:t xml:space="preserve"> Futurismo e Futurismi</w:t>
      </w:r>
      <w:r>
        <w:t xml:space="preserve">, Teatro La Fenice, Venezia 1986; </w:t>
      </w:r>
      <w:r>
        <w:rPr>
          <w:i/>
        </w:rPr>
        <w:t xml:space="preserve">Boccioni and the </w:t>
      </w:r>
      <w:proofErr w:type="spellStart"/>
      <w:r>
        <w:rPr>
          <w:i/>
        </w:rPr>
        <w:t>Avant-</w:t>
      </w:r>
      <w:r>
        <w:t>garde</w:t>
      </w:r>
      <w:proofErr w:type="spellEnd"/>
      <w:r>
        <w:t xml:space="preserve">, Yale University, New Haven 1988; </w:t>
      </w:r>
      <w:r>
        <w:rPr>
          <w:i/>
        </w:rPr>
        <w:t xml:space="preserve">Boccioni and </w:t>
      </w:r>
      <w:proofErr w:type="spellStart"/>
      <w:r>
        <w:rPr>
          <w:i/>
        </w:rPr>
        <w:t>Dynamism</w:t>
      </w:r>
      <w:proofErr w:type="spellEnd"/>
      <w:r>
        <w:rPr>
          <w:i/>
        </w:rPr>
        <w:t xml:space="preserve">: </w:t>
      </w:r>
      <w:proofErr w:type="spellStart"/>
      <w:r>
        <w:rPr>
          <w:i/>
        </w:rPr>
        <w:t>Evolution</w:t>
      </w:r>
      <w:proofErr w:type="spellEnd"/>
      <w:r>
        <w:rPr>
          <w:i/>
        </w:rPr>
        <w:t xml:space="preserve"> of a Theory</w:t>
      </w:r>
      <w:r>
        <w:t>,</w:t>
      </w:r>
      <w:r>
        <w:rPr>
          <w:i/>
        </w:rPr>
        <w:t xml:space="preserve"> </w:t>
      </w:r>
      <w:r>
        <w:t xml:space="preserve">The Metropolitan Museum of Art New York 1988; </w:t>
      </w:r>
      <w:r>
        <w:rPr>
          <w:i/>
        </w:rPr>
        <w:t xml:space="preserve">Marinetti and </w:t>
      </w:r>
      <w:proofErr w:type="spellStart"/>
      <w:r>
        <w:rPr>
          <w:i/>
        </w:rPr>
        <w:t>Egypt</w:t>
      </w:r>
      <w:proofErr w:type="spellEnd"/>
      <w:r>
        <w:t xml:space="preserve">, New Haven 1995; </w:t>
      </w:r>
      <w:r>
        <w:rPr>
          <w:i/>
        </w:rPr>
        <w:t>Picasso e De Chirico</w:t>
      </w:r>
      <w:r>
        <w:t xml:space="preserve">. Università di Barcellona 2006; </w:t>
      </w:r>
      <w:r>
        <w:rPr>
          <w:i/>
        </w:rPr>
        <w:t>Futurismo</w:t>
      </w:r>
      <w:r>
        <w:t xml:space="preserve">, </w:t>
      </w:r>
      <w:r>
        <w:lastRenderedPageBreak/>
        <w:t xml:space="preserve">Museo Pushkin Mosca 2009; </w:t>
      </w:r>
      <w:r>
        <w:rPr>
          <w:i/>
        </w:rPr>
        <w:t>Futurismo and Marinetti</w:t>
      </w:r>
      <w:r>
        <w:t xml:space="preserve">, Harvard University 2009, </w:t>
      </w:r>
      <w:r>
        <w:rPr>
          <w:i/>
        </w:rPr>
        <w:t>Futurismo tra modernità e primitivismo</w:t>
      </w:r>
      <w:r>
        <w:t xml:space="preserve">, ITALIEN-ZENTRUM </w:t>
      </w:r>
      <w:proofErr w:type="spellStart"/>
      <w:r>
        <w:t>der</w:t>
      </w:r>
      <w:proofErr w:type="spellEnd"/>
      <w:r>
        <w:t xml:space="preserve"> </w:t>
      </w:r>
      <w:proofErr w:type="spellStart"/>
      <w:r>
        <w:t>Universität</w:t>
      </w:r>
      <w:proofErr w:type="spellEnd"/>
      <w:r>
        <w:t xml:space="preserve"> Innsbruck 2009; </w:t>
      </w:r>
      <w:r>
        <w:rPr>
          <w:i/>
        </w:rPr>
        <w:t>Futurismo-Europa</w:t>
      </w:r>
      <w:r>
        <w:t xml:space="preserve">, </w:t>
      </w:r>
      <w:proofErr w:type="spellStart"/>
      <w:r>
        <w:t>W</w:t>
      </w:r>
      <w:r>
        <w:rPr>
          <w:b/>
        </w:rPr>
        <w:t>ł</w:t>
      </w:r>
      <w:r>
        <w:t>oski</w:t>
      </w:r>
      <w:proofErr w:type="spellEnd"/>
      <w:r>
        <w:t xml:space="preserve"> </w:t>
      </w:r>
      <w:proofErr w:type="spellStart"/>
      <w:r>
        <w:t>Instytut</w:t>
      </w:r>
      <w:proofErr w:type="spellEnd"/>
      <w:r>
        <w:t xml:space="preserve"> </w:t>
      </w:r>
      <w:proofErr w:type="spellStart"/>
      <w:r>
        <w:t>Kultury</w:t>
      </w:r>
      <w:proofErr w:type="spellEnd"/>
      <w:r>
        <w:t xml:space="preserve"> Varsavia 2009; </w:t>
      </w:r>
      <w:r>
        <w:rPr>
          <w:i/>
        </w:rPr>
        <w:t>American-</w:t>
      </w:r>
      <w:proofErr w:type="spellStart"/>
      <w:r>
        <w:rPr>
          <w:i/>
        </w:rPr>
        <w:t>Italian</w:t>
      </w:r>
      <w:proofErr w:type="spellEnd"/>
      <w:r>
        <w:rPr>
          <w:i/>
        </w:rPr>
        <w:t xml:space="preserve"> </w:t>
      </w:r>
      <w:proofErr w:type="spellStart"/>
      <w:r>
        <w:rPr>
          <w:i/>
        </w:rPr>
        <w:t>artistic</w:t>
      </w:r>
      <w:proofErr w:type="spellEnd"/>
      <w:r>
        <w:rPr>
          <w:i/>
        </w:rPr>
        <w:t xml:space="preserve"> </w:t>
      </w:r>
      <w:proofErr w:type="spellStart"/>
      <w:r>
        <w:rPr>
          <w:i/>
        </w:rPr>
        <w:t>exchange</w:t>
      </w:r>
      <w:proofErr w:type="spellEnd"/>
      <w:r>
        <w:rPr>
          <w:i/>
        </w:rPr>
        <w:t xml:space="preserve"> in the era of the </w:t>
      </w:r>
      <w:proofErr w:type="spellStart"/>
      <w:r>
        <w:rPr>
          <w:i/>
        </w:rPr>
        <w:t>Cold</w:t>
      </w:r>
      <w:proofErr w:type="spellEnd"/>
      <w:r>
        <w:rPr>
          <w:i/>
        </w:rPr>
        <w:t xml:space="preserve"> War (1950s and 1960s)</w:t>
      </w:r>
      <w:r>
        <w:t xml:space="preserve">, </w:t>
      </w:r>
      <w:proofErr w:type="spellStart"/>
      <w:r>
        <w:t>Smithsonian</w:t>
      </w:r>
      <w:proofErr w:type="spellEnd"/>
      <w:r>
        <w:t xml:space="preserve"> </w:t>
      </w:r>
      <w:proofErr w:type="gramStart"/>
      <w:r>
        <w:t>Washington  2017</w:t>
      </w:r>
      <w:proofErr w:type="gramEnd"/>
    </w:p>
    <w:p w14:paraId="0000000E" w14:textId="77777777" w:rsidR="009A0882" w:rsidRDefault="009A0882">
      <w:pPr>
        <w:widowControl w:val="0"/>
        <w:tabs>
          <w:tab w:val="left" w:pos="7560"/>
        </w:tabs>
        <w:spacing w:line="274" w:lineRule="auto"/>
        <w:jc w:val="both"/>
      </w:pPr>
    </w:p>
    <w:p w14:paraId="0000000F" w14:textId="77777777" w:rsidR="009A0882" w:rsidRDefault="00000000">
      <w:pPr>
        <w:widowControl w:val="0"/>
        <w:tabs>
          <w:tab w:val="left" w:pos="7560"/>
        </w:tabs>
        <w:spacing w:line="274" w:lineRule="auto"/>
        <w:jc w:val="both"/>
      </w:pPr>
      <w:r>
        <w:t xml:space="preserve">Presidente dell’Accademia di Danza dal 2017 al 2020. Nell’ambito della sua Presidenza ha trovato e ottenuto i fondi per il restauro della grande pittura murale di Corrado Cagli, </w:t>
      </w:r>
      <w:r>
        <w:rPr>
          <w:i/>
        </w:rPr>
        <w:t>La corsa dei Berberi</w:t>
      </w:r>
      <w:r>
        <w:t>, 1935.</w:t>
      </w:r>
    </w:p>
    <w:p w14:paraId="00000010" w14:textId="77777777" w:rsidR="009A0882" w:rsidRDefault="00000000">
      <w:pPr>
        <w:widowControl w:val="0"/>
        <w:tabs>
          <w:tab w:val="left" w:pos="7560"/>
        </w:tabs>
        <w:spacing w:line="274" w:lineRule="auto"/>
        <w:jc w:val="both"/>
        <w:rPr>
          <w:color w:val="222222"/>
        </w:rPr>
      </w:pPr>
      <w:r>
        <w:rPr>
          <w:color w:val="222222"/>
        </w:rPr>
        <w:t>È nel consiglio scientifico della Treccani.</w:t>
      </w:r>
    </w:p>
    <w:p w14:paraId="00000011" w14:textId="77777777" w:rsidR="009A0882" w:rsidRDefault="00000000">
      <w:pPr>
        <w:jc w:val="both"/>
        <w:rPr>
          <w:color w:val="222222"/>
        </w:rPr>
      </w:pPr>
      <w:r>
        <w:rPr>
          <w:color w:val="222222"/>
        </w:rPr>
        <w:t>Ha collaborato a numerose testate tra le quali “La Repubblica”, ora scrive per “Alias”, inserto culturale de “Il Manifesto”.</w:t>
      </w:r>
    </w:p>
    <w:p w14:paraId="00000012" w14:textId="77777777" w:rsidR="009A0882" w:rsidRDefault="009A0882">
      <w:pPr>
        <w:jc w:val="both"/>
        <w:rPr>
          <w:sz w:val="28"/>
          <w:szCs w:val="28"/>
        </w:rPr>
      </w:pPr>
    </w:p>
    <w:p w14:paraId="00000013" w14:textId="77777777" w:rsidR="009A0882" w:rsidRDefault="009A0882"/>
    <w:sectPr w:rsidR="009A0882">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3A9EF25-7B48-6645-9C20-E24735DAB9FD}"/>
    <w:embedBold r:id="rId2" w:fontKey="{0620F0D7-2F0F-0E4C-AA45-A1429A2CEE0C}"/>
    <w:embedItalic r:id="rId3" w:fontKey="{B9E121B3-D75D-1848-83C3-AE21996C531E}"/>
  </w:font>
  <w:font w:name="Aptos Display">
    <w:panose1 w:val="020B0004020202020204"/>
    <w:charset w:val="00"/>
    <w:family w:val="swiss"/>
    <w:pitch w:val="variable"/>
    <w:sig w:usb0="20000287" w:usb1="00000003" w:usb2="00000000" w:usb3="00000000" w:csb0="0000019F" w:csb1="00000000"/>
    <w:embedRegular r:id="rId4" w:fontKey="{DC32167D-ED23-4E49-809F-29B80D9B666E}"/>
  </w:font>
  <w:font w:name="Aptos">
    <w:panose1 w:val="020B0004020202020204"/>
    <w:charset w:val="00"/>
    <w:family w:val="swiss"/>
    <w:pitch w:val="variable"/>
    <w:sig w:usb0="20000287" w:usb1="00000003" w:usb2="00000000" w:usb3="00000000" w:csb0="0000019F" w:csb1="00000000"/>
    <w:embedRegular r:id="rId5" w:fontKey="{ADEE06A3-F026-2042-B072-68EBF0676F8C}"/>
    <w:embedItalic r:id="rId6" w:fontKey="{18B83D3D-74DC-1B4B-AF74-B8F582034B6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9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882"/>
    <w:rsid w:val="005629CB"/>
    <w:rsid w:val="006229C6"/>
    <w:rsid w:val="006D3130"/>
    <w:rsid w:val="006E1602"/>
    <w:rsid w:val="0072787F"/>
    <w:rsid w:val="009A08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5C04EA0"/>
  <w15:docId w15:val="{28C2F108-AFCF-F74C-9C50-2D96E6D95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66400"/>
  </w:style>
  <w:style w:type="paragraph" w:styleId="Titolo1">
    <w:name w:val="heading 1"/>
    <w:basedOn w:val="Normale"/>
    <w:next w:val="Normale"/>
    <w:link w:val="Titolo1Carattere"/>
    <w:uiPriority w:val="9"/>
    <w:qFormat/>
    <w:rsid w:val="00E66400"/>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rPr>
  </w:style>
  <w:style w:type="paragraph" w:styleId="Titolo2">
    <w:name w:val="heading 2"/>
    <w:basedOn w:val="Normale"/>
    <w:next w:val="Normale"/>
    <w:link w:val="Titolo2Carattere"/>
    <w:uiPriority w:val="9"/>
    <w:semiHidden/>
    <w:unhideWhenUsed/>
    <w:qFormat/>
    <w:rsid w:val="00E66400"/>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rPr>
  </w:style>
  <w:style w:type="paragraph" w:styleId="Titolo3">
    <w:name w:val="heading 3"/>
    <w:basedOn w:val="Normale"/>
    <w:next w:val="Normale"/>
    <w:link w:val="Titolo3Carattere"/>
    <w:uiPriority w:val="9"/>
    <w:semiHidden/>
    <w:unhideWhenUsed/>
    <w:qFormat/>
    <w:rsid w:val="00E66400"/>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rPr>
  </w:style>
  <w:style w:type="paragraph" w:styleId="Titolo4">
    <w:name w:val="heading 4"/>
    <w:basedOn w:val="Normale"/>
    <w:next w:val="Normale"/>
    <w:link w:val="Titolo4Carattere"/>
    <w:uiPriority w:val="9"/>
    <w:semiHidden/>
    <w:unhideWhenUsed/>
    <w:qFormat/>
    <w:rsid w:val="00E66400"/>
    <w:pPr>
      <w:keepNext/>
      <w:keepLines/>
      <w:spacing w:before="80" w:after="40"/>
      <w:outlineLvl w:val="3"/>
    </w:pPr>
    <w:rPr>
      <w:rFonts w:asciiTheme="minorHAnsi" w:eastAsiaTheme="majorEastAsia" w:hAnsiTheme="minorHAnsi" w:cstheme="majorBidi"/>
      <w:i/>
      <w:iCs/>
      <w:color w:val="0F4761" w:themeColor="accent1" w:themeShade="BF"/>
      <w:kern w:val="2"/>
      <w:lang w:eastAsia="en-US"/>
    </w:rPr>
  </w:style>
  <w:style w:type="paragraph" w:styleId="Titolo5">
    <w:name w:val="heading 5"/>
    <w:basedOn w:val="Normale"/>
    <w:next w:val="Normale"/>
    <w:link w:val="Titolo5Carattere"/>
    <w:uiPriority w:val="9"/>
    <w:semiHidden/>
    <w:unhideWhenUsed/>
    <w:qFormat/>
    <w:rsid w:val="00E66400"/>
    <w:pPr>
      <w:keepNext/>
      <w:keepLines/>
      <w:spacing w:before="80" w:after="40"/>
      <w:outlineLvl w:val="4"/>
    </w:pPr>
    <w:rPr>
      <w:rFonts w:asciiTheme="minorHAnsi" w:eastAsiaTheme="majorEastAsia" w:hAnsiTheme="minorHAnsi" w:cstheme="majorBidi"/>
      <w:color w:val="0F4761" w:themeColor="accent1" w:themeShade="BF"/>
      <w:kern w:val="2"/>
      <w:lang w:eastAsia="en-US"/>
    </w:rPr>
  </w:style>
  <w:style w:type="paragraph" w:styleId="Titolo6">
    <w:name w:val="heading 6"/>
    <w:basedOn w:val="Normale"/>
    <w:next w:val="Normale"/>
    <w:link w:val="Titolo6Carattere"/>
    <w:uiPriority w:val="9"/>
    <w:semiHidden/>
    <w:unhideWhenUsed/>
    <w:qFormat/>
    <w:rsid w:val="00E66400"/>
    <w:pPr>
      <w:keepNext/>
      <w:keepLines/>
      <w:spacing w:before="40"/>
      <w:outlineLvl w:val="5"/>
    </w:pPr>
    <w:rPr>
      <w:rFonts w:asciiTheme="minorHAnsi" w:eastAsiaTheme="majorEastAsia" w:hAnsiTheme="minorHAnsi" w:cstheme="majorBidi"/>
      <w:i/>
      <w:iCs/>
      <w:color w:val="595959" w:themeColor="text1" w:themeTint="A6"/>
      <w:kern w:val="2"/>
      <w:lang w:eastAsia="en-US"/>
    </w:rPr>
  </w:style>
  <w:style w:type="paragraph" w:styleId="Titolo7">
    <w:name w:val="heading 7"/>
    <w:basedOn w:val="Normale"/>
    <w:next w:val="Normale"/>
    <w:link w:val="Titolo7Carattere"/>
    <w:uiPriority w:val="9"/>
    <w:semiHidden/>
    <w:unhideWhenUsed/>
    <w:qFormat/>
    <w:rsid w:val="00E66400"/>
    <w:pPr>
      <w:keepNext/>
      <w:keepLines/>
      <w:spacing w:before="40"/>
      <w:outlineLvl w:val="6"/>
    </w:pPr>
    <w:rPr>
      <w:rFonts w:asciiTheme="minorHAnsi" w:eastAsiaTheme="majorEastAsia" w:hAnsiTheme="minorHAnsi" w:cstheme="majorBidi"/>
      <w:color w:val="595959" w:themeColor="text1" w:themeTint="A6"/>
      <w:kern w:val="2"/>
      <w:lang w:eastAsia="en-US"/>
    </w:rPr>
  </w:style>
  <w:style w:type="paragraph" w:styleId="Titolo8">
    <w:name w:val="heading 8"/>
    <w:basedOn w:val="Normale"/>
    <w:next w:val="Normale"/>
    <w:link w:val="Titolo8Carattere"/>
    <w:uiPriority w:val="9"/>
    <w:semiHidden/>
    <w:unhideWhenUsed/>
    <w:qFormat/>
    <w:rsid w:val="00E66400"/>
    <w:pPr>
      <w:keepNext/>
      <w:keepLines/>
      <w:outlineLvl w:val="7"/>
    </w:pPr>
    <w:rPr>
      <w:rFonts w:asciiTheme="minorHAnsi" w:eastAsiaTheme="majorEastAsia" w:hAnsiTheme="minorHAnsi" w:cstheme="majorBidi"/>
      <w:i/>
      <w:iCs/>
      <w:color w:val="272727" w:themeColor="text1" w:themeTint="D8"/>
      <w:kern w:val="2"/>
      <w:lang w:eastAsia="en-US"/>
    </w:rPr>
  </w:style>
  <w:style w:type="paragraph" w:styleId="Titolo9">
    <w:name w:val="heading 9"/>
    <w:basedOn w:val="Normale"/>
    <w:next w:val="Normale"/>
    <w:link w:val="Titolo9Carattere"/>
    <w:uiPriority w:val="9"/>
    <w:semiHidden/>
    <w:unhideWhenUsed/>
    <w:qFormat/>
    <w:rsid w:val="00E66400"/>
    <w:pPr>
      <w:keepNext/>
      <w:keepLines/>
      <w:outlineLvl w:val="8"/>
    </w:pPr>
    <w:rPr>
      <w:rFonts w:asciiTheme="minorHAnsi" w:eastAsiaTheme="majorEastAsia" w:hAnsiTheme="minorHAnsi" w:cstheme="majorBidi"/>
      <w:color w:val="272727" w:themeColor="text1" w:themeTint="D8"/>
      <w:kern w:val="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E66400"/>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olo1Carattere">
    <w:name w:val="Titolo 1 Carattere"/>
    <w:basedOn w:val="Carpredefinitoparagrafo"/>
    <w:link w:val="Titolo1"/>
    <w:uiPriority w:val="9"/>
    <w:rsid w:val="00E6640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6640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6640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6640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6640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6640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6640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6640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66400"/>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E6640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pPr>
      <w:spacing w:after="160"/>
    </w:pPr>
    <w:rPr>
      <w:rFonts w:ascii="Aptos" w:eastAsia="Aptos" w:hAnsi="Aptos" w:cs="Aptos"/>
      <w:color w:val="595959"/>
      <w:sz w:val="28"/>
      <w:szCs w:val="28"/>
    </w:rPr>
  </w:style>
  <w:style w:type="character" w:customStyle="1" w:styleId="SottotitoloCarattere">
    <w:name w:val="Sottotitolo Carattere"/>
    <w:basedOn w:val="Carpredefinitoparagrafo"/>
    <w:link w:val="Sottotitolo"/>
    <w:uiPriority w:val="11"/>
    <w:rsid w:val="00E6640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66400"/>
    <w:pPr>
      <w:spacing w:before="160" w:after="160"/>
      <w:jc w:val="center"/>
    </w:pPr>
    <w:rPr>
      <w:rFonts w:asciiTheme="minorHAnsi" w:eastAsiaTheme="minorHAnsi" w:hAnsiTheme="minorHAnsi" w:cstheme="minorBidi"/>
      <w:i/>
      <w:iCs/>
      <w:color w:val="404040" w:themeColor="text1" w:themeTint="BF"/>
      <w:kern w:val="2"/>
      <w:lang w:eastAsia="en-US"/>
    </w:rPr>
  </w:style>
  <w:style w:type="character" w:customStyle="1" w:styleId="CitazioneCarattere">
    <w:name w:val="Citazione Carattere"/>
    <w:basedOn w:val="Carpredefinitoparagrafo"/>
    <w:link w:val="Citazione"/>
    <w:uiPriority w:val="29"/>
    <w:rsid w:val="00E66400"/>
    <w:rPr>
      <w:i/>
      <w:iCs/>
      <w:color w:val="404040" w:themeColor="text1" w:themeTint="BF"/>
    </w:rPr>
  </w:style>
  <w:style w:type="paragraph" w:styleId="Paragrafoelenco">
    <w:name w:val="List Paragraph"/>
    <w:basedOn w:val="Normale"/>
    <w:uiPriority w:val="34"/>
    <w:qFormat/>
    <w:rsid w:val="00E66400"/>
    <w:pPr>
      <w:ind w:left="720"/>
      <w:contextualSpacing/>
    </w:pPr>
    <w:rPr>
      <w:rFonts w:asciiTheme="minorHAnsi" w:eastAsiaTheme="minorHAnsi" w:hAnsiTheme="minorHAnsi" w:cstheme="minorBidi"/>
      <w:kern w:val="2"/>
      <w:lang w:eastAsia="en-US"/>
    </w:rPr>
  </w:style>
  <w:style w:type="character" w:styleId="Enfasiintensa">
    <w:name w:val="Intense Emphasis"/>
    <w:basedOn w:val="Carpredefinitoparagrafo"/>
    <w:uiPriority w:val="21"/>
    <w:qFormat/>
    <w:rsid w:val="00E66400"/>
    <w:rPr>
      <w:i/>
      <w:iCs/>
      <w:color w:val="0F4761" w:themeColor="accent1" w:themeShade="BF"/>
    </w:rPr>
  </w:style>
  <w:style w:type="paragraph" w:styleId="Citazioneintensa">
    <w:name w:val="Intense Quote"/>
    <w:basedOn w:val="Normale"/>
    <w:next w:val="Normale"/>
    <w:link w:val="CitazioneintensaCarattere"/>
    <w:uiPriority w:val="30"/>
    <w:qFormat/>
    <w:rsid w:val="00E66400"/>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rPr>
  </w:style>
  <w:style w:type="character" w:customStyle="1" w:styleId="CitazioneintensaCarattere">
    <w:name w:val="Citazione intensa Carattere"/>
    <w:basedOn w:val="Carpredefinitoparagrafo"/>
    <w:link w:val="Citazioneintensa"/>
    <w:uiPriority w:val="30"/>
    <w:rsid w:val="00E66400"/>
    <w:rPr>
      <w:i/>
      <w:iCs/>
      <w:color w:val="0F4761" w:themeColor="accent1" w:themeShade="BF"/>
    </w:rPr>
  </w:style>
  <w:style w:type="character" w:styleId="Riferimentointenso">
    <w:name w:val="Intense Reference"/>
    <w:basedOn w:val="Carpredefinitoparagrafo"/>
    <w:uiPriority w:val="32"/>
    <w:qFormat/>
    <w:rsid w:val="00E66400"/>
    <w:rPr>
      <w:b/>
      <w:bCs/>
      <w:smallCaps/>
      <w:color w:val="0F4761" w:themeColor="accent1" w:themeShade="BF"/>
      <w:spacing w:val="5"/>
    </w:rPr>
  </w:style>
  <w:style w:type="character" w:customStyle="1" w:styleId="apple-converted-space">
    <w:name w:val="apple-converted-space"/>
    <w:basedOn w:val="Carpredefinitoparagrafo"/>
    <w:rsid w:val="002F7506"/>
  </w:style>
  <w:style w:type="paragraph" w:styleId="Corpotesto">
    <w:name w:val="Body Text"/>
    <w:basedOn w:val="Normale"/>
    <w:link w:val="CorpotestoCarattere"/>
    <w:uiPriority w:val="1"/>
    <w:qFormat/>
    <w:rsid w:val="004015B8"/>
    <w:pPr>
      <w:widowControl w:val="0"/>
      <w:ind w:left="110"/>
    </w:pPr>
    <w:rPr>
      <w:lang w:val="en-US" w:eastAsia="en-US"/>
    </w:rPr>
  </w:style>
  <w:style w:type="character" w:customStyle="1" w:styleId="CorpotestoCarattere">
    <w:name w:val="Corpo testo Carattere"/>
    <w:basedOn w:val="Carpredefinitoparagrafo"/>
    <w:link w:val="Corpotesto"/>
    <w:uiPriority w:val="1"/>
    <w:rsid w:val="004015B8"/>
    <w:rPr>
      <w:rFonts w:ascii="Times New Roman" w:eastAsia="Times New Roman" w:hAnsi="Times New Roman" w:cs="Times New Roman"/>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2tknZenkHpl45v2gE43noMlqJg==">CgMxLjA4AHIhMURpNkI0R21lMHZJNk15eEpJMWhSQ3RDbGhiTWZnekJj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698</Words>
  <Characters>3903</Characters>
  <Application>Microsoft Office Word</Application>
  <DocSecurity>0</DocSecurity>
  <Lines>60</Lines>
  <Paragraphs>7</Paragraphs>
  <ScaleCrop>false</ScaleCrop>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 coen</dc:creator>
  <cp:lastModifiedBy>ester coen</cp:lastModifiedBy>
  <cp:revision>2</cp:revision>
  <dcterms:created xsi:type="dcterms:W3CDTF">2025-07-14T21:06:00Z</dcterms:created>
  <dcterms:modified xsi:type="dcterms:W3CDTF">2025-07-14T21:06:00Z</dcterms:modified>
</cp:coreProperties>
</file>