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207B" w14:textId="16A3943C" w:rsidR="00146A70" w:rsidRDefault="00144B00">
      <w:r w:rsidRPr="00144B00">
        <w:t>Laureato in Chimica, professore ordinario; i suoi contributi scientifici includono sviluppi teorici e applicazioni nel calcolo elettronico con effetti del solvente e nella spettroscopia computazionale, nell’ambito della chimica dei materiali, biologia, nanoscienze e beni culturali.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0"/>
    <w:rsid w:val="00144B00"/>
    <w:rsid w:val="00146A70"/>
    <w:rsid w:val="0075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D96D"/>
  <w15:chartTrackingRefBased/>
  <w15:docId w15:val="{253B54C9-493B-4F23-A809-89BF5427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4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4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4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4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4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4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4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4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4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4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4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4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4B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4B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4B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4B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4B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4B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4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4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4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4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4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4B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4B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4B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4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4B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4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2026-02-08T19:17:00Z</dcterms:created>
  <dcterms:modified xsi:type="dcterms:W3CDTF">2026-02-08T19:17:00Z</dcterms:modified>
</cp:coreProperties>
</file>